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bookmarkStart w:id="0" w:name="_GoBack"/>
      <w:bookmarkEnd w:id="0"/>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F9448D" w:rsidRDefault="00F9448D" w:rsidP="00F9448D">
      <w:pPr>
        <w:spacing w:after="0" w:line="240" w:lineRule="auto"/>
      </w:pPr>
      <w:r>
        <w:t>****  1100118  Recursos fiscales</w:t>
      </w:r>
    </w:p>
    <w:p w:rsidR="00F9448D" w:rsidRDefault="00F9448D" w:rsidP="00F9448D">
      <w:pPr>
        <w:spacing w:after="0" w:line="240" w:lineRule="auto"/>
      </w:pPr>
      <w:r>
        <w:t>****  1100119  Recursos fiscales</w:t>
      </w:r>
    </w:p>
    <w:p w:rsidR="00F9448D" w:rsidRDefault="00F9448D" w:rsidP="00F9448D">
      <w:pPr>
        <w:spacing w:after="0" w:line="240" w:lineRule="auto"/>
      </w:pPr>
      <w:r>
        <w:t>****  1500518  Participaciones federales</w:t>
      </w:r>
    </w:p>
    <w:p w:rsidR="00F9448D" w:rsidRDefault="00F9448D" w:rsidP="00F9448D">
      <w:pPr>
        <w:spacing w:after="0" w:line="240" w:lineRule="auto"/>
      </w:pPr>
      <w:r>
        <w:t>****  1500519  Participaciones federales</w:t>
      </w:r>
    </w:p>
    <w:p w:rsidR="00F9448D" w:rsidRDefault="00F9448D" w:rsidP="00F9448D">
      <w:pPr>
        <w:spacing w:after="0" w:line="240" w:lineRule="auto"/>
      </w:pPr>
      <w:r>
        <w:t>****  1600418  Convenios estatales</w:t>
      </w:r>
    </w:p>
    <w:p w:rsidR="00F9448D" w:rsidRDefault="00F9448D" w:rsidP="00F9448D">
      <w:pPr>
        <w:spacing w:after="0" w:line="240" w:lineRule="auto"/>
      </w:pPr>
      <w:r>
        <w:t>****  1600419  Convenios estatales</w:t>
      </w:r>
    </w:p>
    <w:p w:rsidR="00F9448D" w:rsidRDefault="00F9448D" w:rsidP="00F9448D">
      <w:pPr>
        <w:spacing w:after="0" w:line="240" w:lineRule="auto"/>
      </w:pPr>
      <w:r>
        <w:t>****  1700919  CONV BENEFICIARIOS</w:t>
      </w:r>
    </w:p>
    <w:p w:rsidR="00F9448D" w:rsidRDefault="00F9448D" w:rsidP="00F9448D">
      <w:pPr>
        <w:spacing w:after="0" w:line="240" w:lineRule="auto"/>
      </w:pPr>
      <w:r>
        <w:t>****  2510118  FISM DTDF</w:t>
      </w:r>
    </w:p>
    <w:p w:rsidR="00F9448D" w:rsidRDefault="00F9448D" w:rsidP="00F9448D">
      <w:pPr>
        <w:spacing w:after="0" w:line="240" w:lineRule="auto"/>
      </w:pPr>
      <w:r>
        <w:t>****  2510119  FISM DTDF 2019</w:t>
      </w:r>
    </w:p>
    <w:p w:rsidR="00F9448D" w:rsidRDefault="00F9448D" w:rsidP="00F9448D">
      <w:pPr>
        <w:spacing w:after="0" w:line="240" w:lineRule="auto"/>
      </w:pPr>
      <w:r>
        <w:t>****  2510218  FORTAMUN DTDF</w:t>
      </w:r>
    </w:p>
    <w:p w:rsidR="00F9448D" w:rsidRDefault="00F9448D" w:rsidP="00F9448D">
      <w:pPr>
        <w:spacing w:after="0" w:line="240" w:lineRule="auto"/>
      </w:pPr>
      <w:r>
        <w:t>****  2510219  FORTAMUN DTDF 2019</w:t>
      </w:r>
    </w:p>
    <w:p w:rsidR="00F9448D" w:rsidRDefault="00F9448D" w:rsidP="00F9448D">
      <w:pPr>
        <w:spacing w:after="0" w:line="240" w:lineRule="auto"/>
      </w:pPr>
      <w:r>
        <w:t>****  2510318  FISE</w:t>
      </w:r>
    </w:p>
    <w:p w:rsidR="00F9448D" w:rsidRDefault="00F9448D" w:rsidP="00F9448D">
      <w:pPr>
        <w:spacing w:after="0" w:line="240" w:lineRule="auto"/>
      </w:pPr>
      <w:r>
        <w:t>****  2510319  FISE 2019</w:t>
      </w:r>
    </w:p>
    <w:p w:rsidR="00F9448D" w:rsidRDefault="00F9448D" w:rsidP="00F9448D">
      <w:pPr>
        <w:spacing w:after="0" w:line="240" w:lineRule="auto"/>
      </w:pPr>
      <w:r>
        <w:t>****  2520318  Convenios federales</w:t>
      </w:r>
    </w:p>
    <w:p w:rsidR="00811FDB" w:rsidRDefault="00F9448D" w:rsidP="00F9448D">
      <w:pPr>
        <w:spacing w:after="0" w:line="240" w:lineRule="auto"/>
      </w:pPr>
      <w:r>
        <w:t>****  2520319  Convenios federales</w:t>
      </w:r>
    </w:p>
    <w:p w:rsidR="00AF5CAD" w:rsidRDefault="00AF5CAD" w:rsidP="00E0751D">
      <w:pPr>
        <w:spacing w:after="0" w:line="240" w:lineRule="auto"/>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E0751D" w:rsidRPr="00E0751D" w:rsidRDefault="00E0751D" w:rsidP="00E0751D">
      <w:pPr>
        <w:spacing w:after="0" w:line="240" w:lineRule="auto"/>
        <w:rPr>
          <w:b/>
        </w:rPr>
      </w:pPr>
      <w:r w:rsidRPr="00E0751D">
        <w:rPr>
          <w:b/>
        </w:rPr>
        <w:lastRenderedPageBreak/>
        <w:t>3. Pasivo Circulante al Cierre del Ejercicio</w:t>
      </w:r>
    </w:p>
    <w:p w:rsidR="00E0751D" w:rsidRDefault="00D17403" w:rsidP="00E0751D">
      <w:pPr>
        <w:spacing w:after="0" w:line="240" w:lineRule="auto"/>
      </w:pPr>
      <w:r>
        <w:t>Se informará solo al 30</w:t>
      </w:r>
      <w:r w:rsidR="00E0751D">
        <w:t xml:space="preserve"> de </w:t>
      </w:r>
      <w:r>
        <w:t>Marzo 2019</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500" w:type="dxa"/>
        <w:tblInd w:w="70" w:type="dxa"/>
        <w:tblCellMar>
          <w:left w:w="70" w:type="dxa"/>
          <w:right w:w="70" w:type="dxa"/>
        </w:tblCellMar>
        <w:tblLook w:val="04A0" w:firstRow="1" w:lastRow="0" w:firstColumn="1" w:lastColumn="0" w:noHBand="0" w:noVBand="1"/>
      </w:tblPr>
      <w:tblGrid>
        <w:gridCol w:w="5800"/>
        <w:gridCol w:w="1700"/>
      </w:tblGrid>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b/>
                <w:bCs/>
                <w:sz w:val="16"/>
                <w:szCs w:val="16"/>
                <w:lang w:eastAsia="es-MX"/>
              </w:rPr>
            </w:pPr>
            <w:r w:rsidRPr="00131043">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b/>
                <w:bCs/>
                <w:sz w:val="16"/>
                <w:szCs w:val="16"/>
                <w:lang w:eastAsia="es-MX"/>
              </w:rPr>
            </w:pP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6,900,411.70</w:t>
            </w: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r w:rsidR="00131043" w:rsidRPr="00131043" w:rsidTr="00131043">
        <w:trPr>
          <w:trHeight w:val="270"/>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r w:rsidR="00131043" w:rsidRPr="00131043" w:rsidTr="00131043">
        <w:trPr>
          <w:trHeight w:val="225"/>
        </w:trPr>
        <w:tc>
          <w:tcPr>
            <w:tcW w:w="5800" w:type="dxa"/>
            <w:tcBorders>
              <w:top w:val="nil"/>
              <w:left w:val="nil"/>
              <w:bottom w:val="nil"/>
              <w:right w:val="nil"/>
            </w:tcBorders>
            <w:shd w:val="clear" w:color="auto" w:fill="auto"/>
            <w:hideMark/>
          </w:tcPr>
          <w:p w:rsidR="00131043" w:rsidRPr="00131043" w:rsi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131043" w:rsidRPr="00131043" w:rsidRDefault="00131043" w:rsidP="00131043">
            <w:pPr>
              <w:spacing w:after="0" w:line="240" w:lineRule="auto"/>
              <w:jc w:val="right"/>
              <w:rPr>
                <w:rFonts w:ascii="Arial" w:eastAsia="Times New Roman" w:hAnsi="Arial" w:cs="Arial"/>
                <w:sz w:val="16"/>
                <w:szCs w:val="16"/>
                <w:lang w:eastAsia="es-MX"/>
              </w:rPr>
            </w:pPr>
            <w:r w:rsidRPr="00131043">
              <w:rPr>
                <w:rFonts w:ascii="Arial" w:eastAsia="Times New Roman" w:hAnsi="Arial" w:cs="Arial"/>
                <w:sz w:val="16"/>
                <w:szCs w:val="16"/>
                <w:lang w:eastAsia="es-MX"/>
              </w:rPr>
              <w:t>0.00</w:t>
            </w:r>
          </w:p>
        </w:tc>
      </w:tr>
    </w:tbl>
    <w:p w:rsidR="009D09C4" w:rsidRDefault="009D09C4" w:rsidP="00E0751D">
      <w:pPr>
        <w:spacing w:after="0" w:line="240" w:lineRule="auto"/>
        <w:rPr>
          <w:color w:val="2F5496" w:themeColor="accent1" w:themeShade="BF"/>
        </w:rPr>
      </w:pP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lastRenderedPageBreak/>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CD0818" w:rsidP="0012031E">
      <w:pPr>
        <w:spacing w:after="0" w:line="240" w:lineRule="auto"/>
      </w:pPr>
      <w:r>
        <w:rPr>
          <w:noProof/>
        </w:rPr>
        <w:pict>
          <v:shapetype id="_x0000_t202" coordsize="21600,21600" o:spt="202" path="m,l,21600r21600,l21600,xe">
            <v:stroke joinstyle="miter"/>
            <v:path gradientshapeok="t" o:connecttype="rect"/>
          </v:shapetype>
          <v:shape id="CuadroTexto 2" o:spid="_x0000_s1026" type="#_x0000_t202" style="position:absolute;margin-left:0;margin-top:0;width:515.2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" fillcolor="white [3201]" stroked="f">
            <v:textbox>
              <w:txbxContent>
                <w:p w:rsidR="00BE59BF" w:rsidRDefault="00BE59BF" w:rsidP="00BE59BF">
                  <w:pPr>
                    <w:pStyle w:val="NormalWeb"/>
                    <w:spacing w:before="0" w:beforeAutospacing="0" w:after="0" w:afterAutospacing="0"/>
                  </w:pPr>
                  <w:r>
                    <w:rPr>
                      <w:rFonts w:asciiTheme="minorHAnsi" w:eastAsia="Times New Roman" w:hAnsi="Calibri"/>
                      <w:color w:val="000000"/>
                      <w:sz w:val="16"/>
                      <w:szCs w:val="16"/>
                    </w:rPr>
                    <w:t xml:space="preserve">   __________________________</w:t>
                  </w:r>
                  <w:r>
                    <w:rPr>
                      <w:rFonts w:asciiTheme="minorHAnsi" w:eastAsia="Times New Roman" w:hAnsi="Calibri"/>
                      <w:color w:val="000000"/>
                      <w:sz w:val="16"/>
                      <w:szCs w:val="16"/>
                    </w:rPr>
                    <w:tab/>
                    <w:t xml:space="preserve">     ________________________________</w:t>
                  </w:r>
                  <w:r>
                    <w:rPr>
                      <w:rFonts w:asciiTheme="minorHAnsi" w:eastAsia="Times New Roman" w:hAnsi="Calibri"/>
                      <w:color w:val="000000"/>
                      <w:sz w:val="16"/>
                      <w:szCs w:val="16"/>
                    </w:rPr>
                    <w:tab/>
                    <w:t xml:space="preserve">                         ___________________________</w:t>
                  </w:r>
                </w:p>
                <w:p w:rsidR="00BE59BF" w:rsidRDefault="00BE59BF" w:rsidP="00BE59BF">
                  <w:pPr>
                    <w:pStyle w:val="NormalWeb"/>
                    <w:spacing w:before="0" w:beforeAutospacing="0" w:after="0" w:afterAutospacing="0"/>
                  </w:pPr>
                  <w:r>
                    <w:rPr>
                      <w:rFonts w:asciiTheme="minorHAnsi" w:eastAsia="Times New Roman" w:hAnsi="Calibri"/>
                      <w:b/>
                      <w:bCs/>
                      <w:color w:val="000000"/>
                      <w:sz w:val="18"/>
                      <w:szCs w:val="18"/>
                    </w:rPr>
                    <w:t xml:space="preserve">           Presidente Municipal                     Presidenta de la Comisión de Hacienda                                 Tesorero Municipal</w:t>
                  </w:r>
                </w:p>
                <w:p w:rsidR="00BE59BF" w:rsidRDefault="00BE59BF" w:rsidP="00BE59BF">
                  <w:pPr>
                    <w:pStyle w:val="NormalWeb"/>
                    <w:spacing w:before="0" w:beforeAutospacing="0" w:after="0" w:afterAutospacing="0"/>
                  </w:pPr>
                  <w:r>
                    <w:rPr>
                      <w:rFonts w:asciiTheme="minorHAnsi" w:eastAsia="Times New Roman" w:hAnsi="Calibri"/>
                      <w:color w:val="000000"/>
                      <w:sz w:val="18"/>
                      <w:szCs w:val="18"/>
                    </w:rPr>
                    <w:t xml:space="preserve"> Lic. Eduardo Maldonado García </w:t>
                  </w:r>
                  <w:r>
                    <w:rPr>
                      <w:rFonts w:asciiTheme="minorHAnsi" w:eastAsia="Times New Roman" w:hAnsi="Calibri"/>
                      <w:color w:val="000000"/>
                      <w:sz w:val="18"/>
                      <w:szCs w:val="18"/>
                    </w:rPr>
                    <w:tab/>
                    <w:t xml:space="preserve">     C.P. María Guadalupe Cano Ortega</w:t>
                  </w:r>
                  <w:r>
                    <w:rPr>
                      <w:rFonts w:asciiTheme="minorHAnsi" w:eastAsia="Times New Roman" w:hAnsi="Calibri"/>
                      <w:color w:val="000000"/>
                      <w:sz w:val="18"/>
                      <w:szCs w:val="18"/>
                    </w:rPr>
                    <w:tab/>
                    <w:t xml:space="preserve">                  </w:t>
                  </w:r>
                  <w:r w:rsidR="00702C8B">
                    <w:rPr>
                      <w:rFonts w:asciiTheme="minorHAnsi" w:eastAsia="Times New Roman" w:hAnsi="Calibri"/>
                      <w:color w:val="000000"/>
                      <w:sz w:val="18"/>
                      <w:szCs w:val="18"/>
                    </w:rPr>
                    <w:t xml:space="preserve">  </w:t>
                  </w:r>
                  <w:r>
                    <w:rPr>
                      <w:rFonts w:asciiTheme="minorHAnsi" w:eastAsia="Times New Roman" w:hAnsi="Calibri"/>
                      <w:color w:val="000000"/>
                      <w:sz w:val="18"/>
                      <w:szCs w:val="18"/>
                    </w:rPr>
                    <w:t xml:space="preserve">            C.P. Sergio Ortega Mora</w:t>
                  </w:r>
                </w:p>
              </w:txbxContent>
            </v:textbox>
          </v:shape>
        </w:pict>
      </w:r>
    </w:p>
    <w:sectPr w:rsidR="00BE59BF"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CD0818" w:rsidRPr="00CD0818">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A606F" w:rsidP="0012031E">
    <w:pPr>
      <w:pStyle w:val="Encabezado"/>
      <w:jc w:val="center"/>
    </w:pPr>
    <w:r>
      <w:t xml:space="preserve">CORRESPONDIENTES A </w:t>
    </w:r>
    <w:r w:rsidR="00842150">
      <w:t>ENERO</w:t>
    </w:r>
    <w:r w:rsidR="0038249E">
      <w:t xml:space="preserve"> - </w:t>
    </w:r>
    <w:r w:rsidR="00131043">
      <w:t>SEPTIEMBRE</w:t>
    </w:r>
    <w:r>
      <w:t xml:space="preserve"> DEL 201</w:t>
    </w:r>
    <w:r w:rsidR="00842150">
      <w:t>9</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31043"/>
    <w:rsid w:val="00195754"/>
    <w:rsid w:val="002B0FE0"/>
    <w:rsid w:val="0030764C"/>
    <w:rsid w:val="0038249E"/>
    <w:rsid w:val="00474D51"/>
    <w:rsid w:val="00483349"/>
    <w:rsid w:val="004C23EA"/>
    <w:rsid w:val="005B4237"/>
    <w:rsid w:val="00622EB9"/>
    <w:rsid w:val="006C3A31"/>
    <w:rsid w:val="00702C8B"/>
    <w:rsid w:val="007370EC"/>
    <w:rsid w:val="00756E01"/>
    <w:rsid w:val="00796C25"/>
    <w:rsid w:val="00811FDB"/>
    <w:rsid w:val="00842150"/>
    <w:rsid w:val="008F0136"/>
    <w:rsid w:val="00940570"/>
    <w:rsid w:val="009D09C4"/>
    <w:rsid w:val="00A827B2"/>
    <w:rsid w:val="00A84C91"/>
    <w:rsid w:val="00AA606F"/>
    <w:rsid w:val="00AF5CAD"/>
    <w:rsid w:val="00BC2018"/>
    <w:rsid w:val="00BE3C27"/>
    <w:rsid w:val="00BE59BF"/>
    <w:rsid w:val="00CD0818"/>
    <w:rsid w:val="00D17403"/>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665</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24</cp:revision>
  <cp:lastPrinted>2018-04-19T00:02:00Z</cp:lastPrinted>
  <dcterms:created xsi:type="dcterms:W3CDTF">2018-03-20T04:02:00Z</dcterms:created>
  <dcterms:modified xsi:type="dcterms:W3CDTF">2019-11-04T17:27:00Z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